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D3" w:rsidRDefault="00C81BD3">
      <w:pPr>
        <w:rPr>
          <w:b/>
          <w:color w:val="000000" w:themeColor="text1"/>
          <w:szCs w:val="24"/>
        </w:rPr>
      </w:pPr>
      <w:r w:rsidRPr="00936EB6">
        <w:rPr>
          <w:b/>
          <w:color w:val="000000" w:themeColor="text1"/>
          <w:szCs w:val="24"/>
        </w:rPr>
        <w:t xml:space="preserve">Processo nº: </w:t>
      </w:r>
      <w:r w:rsidR="00BC578D" w:rsidRPr="00936EB6">
        <w:rPr>
          <w:b/>
          <w:color w:val="000000" w:themeColor="text1"/>
          <w:szCs w:val="24"/>
        </w:rPr>
        <w:t>23080.</w:t>
      </w:r>
      <w:r w:rsidR="007A28E6" w:rsidRPr="00936EB6">
        <w:rPr>
          <w:b/>
          <w:color w:val="000000" w:themeColor="text1"/>
          <w:szCs w:val="24"/>
        </w:rPr>
        <w:t>______________________</w:t>
      </w:r>
      <w:r w:rsidRPr="00936EB6">
        <w:rPr>
          <w:b/>
          <w:color w:val="000000" w:themeColor="text1"/>
          <w:szCs w:val="24"/>
        </w:rPr>
        <w:tab/>
      </w:r>
      <w:r w:rsidRPr="00936EB6">
        <w:rPr>
          <w:b/>
          <w:color w:val="000000" w:themeColor="text1"/>
          <w:szCs w:val="24"/>
        </w:rPr>
        <w:tab/>
        <w:t xml:space="preserve">       </w:t>
      </w:r>
    </w:p>
    <w:p w:rsidR="00BC578D" w:rsidRPr="00936EB6" w:rsidRDefault="00BC578D"/>
    <w:tbl>
      <w:tblPr>
        <w:tblStyle w:val="Tabelacomgrade"/>
        <w:tblW w:w="10490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6"/>
        <w:gridCol w:w="500"/>
        <w:gridCol w:w="1836"/>
        <w:gridCol w:w="1958"/>
        <w:gridCol w:w="3260"/>
      </w:tblGrid>
      <w:tr w:rsidR="007A28E6" w:rsidRPr="00936EB6" w:rsidTr="00FC724A">
        <w:trPr>
          <w:trHeight w:val="567"/>
        </w:trPr>
        <w:tc>
          <w:tcPr>
            <w:tcW w:w="10490" w:type="dxa"/>
            <w:gridSpan w:val="5"/>
            <w:shd w:val="clear" w:color="auto" w:fill="BDD6EE" w:themeFill="accent1" w:themeFillTint="66"/>
            <w:tcMar>
              <w:left w:w="103" w:type="dxa"/>
            </w:tcMar>
          </w:tcPr>
          <w:p w:rsidR="00027B2B" w:rsidRPr="00936EB6" w:rsidRDefault="00664A47">
            <w:pPr>
              <w:jc w:val="center"/>
              <w:rPr>
                <w:b/>
                <w:color w:val="000000" w:themeColor="text1"/>
              </w:rPr>
            </w:pPr>
            <w:r w:rsidRPr="00936EB6">
              <w:rPr>
                <w:b/>
                <w:color w:val="000000" w:themeColor="text1"/>
              </w:rPr>
              <w:t>DOADOR:</w:t>
            </w:r>
          </w:p>
        </w:tc>
      </w:tr>
      <w:tr w:rsidR="00027B2B" w:rsidRPr="00936EB6" w:rsidTr="0072276B">
        <w:trPr>
          <w:trHeight w:val="567"/>
        </w:trPr>
        <w:tc>
          <w:tcPr>
            <w:tcW w:w="10490" w:type="dxa"/>
            <w:gridSpan w:val="5"/>
            <w:shd w:val="clear" w:color="auto" w:fill="auto"/>
            <w:tcMar>
              <w:left w:w="103" w:type="dxa"/>
            </w:tcMar>
          </w:tcPr>
          <w:p w:rsidR="00027B2B" w:rsidRPr="00936EB6" w:rsidRDefault="00027B2B" w:rsidP="00FC6656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27B2B" w:rsidRPr="00936EB6" w:rsidTr="00FC724A">
        <w:trPr>
          <w:trHeight w:val="395"/>
        </w:trPr>
        <w:tc>
          <w:tcPr>
            <w:tcW w:w="10490" w:type="dxa"/>
            <w:gridSpan w:val="5"/>
            <w:shd w:val="clear" w:color="auto" w:fill="BDD6EE" w:themeFill="accent1" w:themeFillTint="66"/>
            <w:tcMar>
              <w:left w:w="103" w:type="dxa"/>
            </w:tcMar>
          </w:tcPr>
          <w:p w:rsidR="00027B2B" w:rsidRPr="00936EB6" w:rsidRDefault="00664A47" w:rsidP="009A35C6">
            <w:pPr>
              <w:jc w:val="center"/>
              <w:rPr>
                <w:b/>
              </w:rPr>
            </w:pPr>
            <w:r w:rsidRPr="00936EB6">
              <w:rPr>
                <w:b/>
              </w:rPr>
              <w:t>DESCRIÇÃO PADRONIZADA DOS BENS (quantidade e descrição dos bens):</w:t>
            </w:r>
          </w:p>
        </w:tc>
      </w:tr>
      <w:tr w:rsidR="00027B2B" w:rsidRPr="00936EB6" w:rsidTr="0072276B">
        <w:trPr>
          <w:trHeight w:val="428"/>
        </w:trPr>
        <w:tc>
          <w:tcPr>
            <w:tcW w:w="10490" w:type="dxa"/>
            <w:gridSpan w:val="5"/>
            <w:shd w:val="clear" w:color="auto" w:fill="auto"/>
            <w:tcMar>
              <w:left w:w="103" w:type="dxa"/>
            </w:tcMar>
          </w:tcPr>
          <w:p w:rsidR="00027B2B" w:rsidRPr="00936EB6" w:rsidRDefault="003E2852">
            <w:r>
              <w:t>Conforme relação em anexo.</w:t>
            </w:r>
          </w:p>
        </w:tc>
      </w:tr>
      <w:tr w:rsidR="00027B2B" w:rsidRPr="00936EB6" w:rsidTr="00FC724A">
        <w:trPr>
          <w:trHeight w:val="567"/>
        </w:trPr>
        <w:tc>
          <w:tcPr>
            <w:tcW w:w="10490" w:type="dxa"/>
            <w:gridSpan w:val="5"/>
            <w:shd w:val="clear" w:color="auto" w:fill="BDD6EE" w:themeFill="accent1" w:themeFillTint="66"/>
            <w:tcMar>
              <w:left w:w="103" w:type="dxa"/>
            </w:tcMar>
          </w:tcPr>
          <w:p w:rsidR="00027B2B" w:rsidRPr="00936EB6" w:rsidRDefault="00664A47" w:rsidP="007A28E6">
            <w:pPr>
              <w:jc w:val="center"/>
              <w:rPr>
                <w:b/>
              </w:rPr>
            </w:pPr>
            <w:r w:rsidRPr="00936EB6">
              <w:rPr>
                <w:b/>
              </w:rPr>
              <w:t xml:space="preserve">ESTADO DE </w:t>
            </w:r>
            <w:r w:rsidR="00043D46" w:rsidRPr="00936EB6">
              <w:rPr>
                <w:b/>
              </w:rPr>
              <w:t>CONSERVAÇÃO DOS</w:t>
            </w:r>
            <w:r w:rsidR="007A28E6" w:rsidRPr="00936EB6">
              <w:rPr>
                <w:b/>
              </w:rPr>
              <w:t xml:space="preserve"> BENS</w:t>
            </w:r>
            <w:r w:rsidRPr="00936EB6">
              <w:rPr>
                <w:b/>
              </w:rPr>
              <w:t>*:</w:t>
            </w:r>
          </w:p>
        </w:tc>
      </w:tr>
      <w:tr w:rsidR="00027B2B" w:rsidRPr="00936EB6" w:rsidTr="0072276B">
        <w:trPr>
          <w:trHeight w:val="499"/>
        </w:trPr>
        <w:tc>
          <w:tcPr>
            <w:tcW w:w="10490" w:type="dxa"/>
            <w:gridSpan w:val="5"/>
            <w:shd w:val="clear" w:color="auto" w:fill="auto"/>
            <w:tcMar>
              <w:left w:w="103" w:type="dxa"/>
            </w:tcMar>
          </w:tcPr>
          <w:p w:rsidR="00027B2B" w:rsidRPr="00936EB6" w:rsidRDefault="003E2852">
            <w:r>
              <w:t>Conforme relação em anexo.</w:t>
            </w:r>
          </w:p>
        </w:tc>
      </w:tr>
      <w:tr w:rsidR="00027B2B" w:rsidRPr="00936EB6" w:rsidTr="00FC724A">
        <w:trPr>
          <w:trHeight w:val="567"/>
        </w:trPr>
        <w:tc>
          <w:tcPr>
            <w:tcW w:w="10490" w:type="dxa"/>
            <w:gridSpan w:val="5"/>
            <w:shd w:val="clear" w:color="auto" w:fill="BDD6EE" w:themeFill="accent1" w:themeFillTint="66"/>
            <w:tcMar>
              <w:left w:w="103" w:type="dxa"/>
            </w:tcMar>
          </w:tcPr>
          <w:p w:rsidR="00027B2B" w:rsidRPr="00936EB6" w:rsidRDefault="00664A47" w:rsidP="00D331D4">
            <w:pPr>
              <w:jc w:val="center"/>
              <w:rPr>
                <w:b/>
              </w:rPr>
            </w:pPr>
            <w:r w:rsidRPr="00936EB6">
              <w:rPr>
                <w:b/>
              </w:rPr>
              <w:t>DESTINAÇÃO DOS</w:t>
            </w:r>
            <w:r w:rsidR="00D331D4" w:rsidRPr="00936EB6">
              <w:rPr>
                <w:b/>
              </w:rPr>
              <w:t xml:space="preserve"> BEN</w:t>
            </w:r>
            <w:r w:rsidRPr="00936EB6">
              <w:rPr>
                <w:b/>
              </w:rPr>
              <w:t>S</w:t>
            </w:r>
          </w:p>
        </w:tc>
      </w:tr>
      <w:tr w:rsidR="003E2852" w:rsidRPr="00936EB6" w:rsidTr="00FB05F4">
        <w:trPr>
          <w:trHeight w:val="567"/>
        </w:trPr>
        <w:tc>
          <w:tcPr>
            <w:tcW w:w="10490" w:type="dxa"/>
            <w:gridSpan w:val="5"/>
            <w:shd w:val="clear" w:color="auto" w:fill="auto"/>
            <w:tcMar>
              <w:left w:w="103" w:type="dxa"/>
            </w:tcMar>
          </w:tcPr>
          <w:p w:rsidR="003E2852" w:rsidRPr="00936EB6" w:rsidRDefault="003E2852" w:rsidP="00653930">
            <w:pPr>
              <w:rPr>
                <w:color w:val="000000" w:themeColor="text1"/>
              </w:rPr>
            </w:pPr>
            <w:r>
              <w:t>Conforme relação em anexo.</w:t>
            </w:r>
          </w:p>
        </w:tc>
      </w:tr>
      <w:tr w:rsidR="00027B2B" w:rsidRPr="00936EB6" w:rsidTr="00FC724A">
        <w:trPr>
          <w:trHeight w:val="567"/>
        </w:trPr>
        <w:tc>
          <w:tcPr>
            <w:tcW w:w="10490" w:type="dxa"/>
            <w:gridSpan w:val="5"/>
            <w:shd w:val="clear" w:color="auto" w:fill="BDD6EE" w:themeFill="accent1" w:themeFillTint="66"/>
            <w:tcMar>
              <w:left w:w="103" w:type="dxa"/>
            </w:tcMar>
          </w:tcPr>
          <w:p w:rsidR="00027B2B" w:rsidRPr="00936EB6" w:rsidRDefault="00664A47">
            <w:pPr>
              <w:jc w:val="center"/>
              <w:rPr>
                <w:b/>
              </w:rPr>
            </w:pPr>
            <w:r w:rsidRPr="00936EB6">
              <w:rPr>
                <w:b/>
              </w:rPr>
              <w:t xml:space="preserve">PARECER SOBRE A DOAÇÃO </w:t>
            </w:r>
            <w:r w:rsidR="00043D46" w:rsidRPr="00936EB6">
              <w:rPr>
                <w:b/>
              </w:rPr>
              <w:t>E OUTROS ELEMENTOS PERTINENTES*</w:t>
            </w:r>
            <w:r w:rsidRPr="00936EB6">
              <w:rPr>
                <w:b/>
              </w:rPr>
              <w:t>*:</w:t>
            </w:r>
          </w:p>
        </w:tc>
      </w:tr>
      <w:tr w:rsidR="00027B2B" w:rsidRPr="00936EB6" w:rsidTr="0072276B">
        <w:trPr>
          <w:trHeight w:val="511"/>
        </w:trPr>
        <w:tc>
          <w:tcPr>
            <w:tcW w:w="2936" w:type="dxa"/>
            <w:shd w:val="clear" w:color="auto" w:fill="auto"/>
            <w:tcMar>
              <w:left w:w="103" w:type="dxa"/>
            </w:tcMar>
          </w:tcPr>
          <w:p w:rsidR="00027B2B" w:rsidRPr="00936EB6" w:rsidRDefault="00664A47" w:rsidP="00AD3C0F">
            <w:proofErr w:type="gramStart"/>
            <w:r w:rsidRPr="00936EB6">
              <w:t xml:space="preserve">(  </w:t>
            </w:r>
            <w:proofErr w:type="gramEnd"/>
            <w:r w:rsidRPr="00936EB6">
              <w:t>) favorável</w:t>
            </w:r>
          </w:p>
        </w:tc>
        <w:tc>
          <w:tcPr>
            <w:tcW w:w="2336" w:type="dxa"/>
            <w:gridSpan w:val="2"/>
            <w:shd w:val="clear" w:color="auto" w:fill="auto"/>
            <w:tcMar>
              <w:left w:w="103" w:type="dxa"/>
            </w:tcMar>
          </w:tcPr>
          <w:p w:rsidR="00027B2B" w:rsidRPr="00936EB6" w:rsidRDefault="00664A47">
            <w:proofErr w:type="gramStart"/>
            <w:r w:rsidRPr="00936EB6">
              <w:t xml:space="preserve">(   </w:t>
            </w:r>
            <w:proofErr w:type="gramEnd"/>
            <w:r w:rsidRPr="00936EB6">
              <w:t>) desfavorável</w:t>
            </w:r>
          </w:p>
        </w:tc>
        <w:tc>
          <w:tcPr>
            <w:tcW w:w="5218" w:type="dxa"/>
            <w:gridSpan w:val="2"/>
            <w:shd w:val="clear" w:color="auto" w:fill="auto"/>
            <w:tcMar>
              <w:left w:w="103" w:type="dxa"/>
            </w:tcMar>
          </w:tcPr>
          <w:p w:rsidR="00027B2B" w:rsidRPr="00936EB6" w:rsidRDefault="00664A47">
            <w:proofErr w:type="gramStart"/>
            <w:r w:rsidRPr="00936EB6">
              <w:t xml:space="preserve">(   </w:t>
            </w:r>
            <w:proofErr w:type="gramEnd"/>
            <w:r w:rsidRPr="00936EB6">
              <w:t>) parcialmente favorável, considerando:</w:t>
            </w:r>
          </w:p>
          <w:p w:rsidR="00027B2B" w:rsidRPr="00936EB6" w:rsidRDefault="00027B2B"/>
          <w:p w:rsidR="00027B2B" w:rsidRPr="00936EB6" w:rsidRDefault="00027B2B"/>
        </w:tc>
      </w:tr>
      <w:tr w:rsidR="00027B2B" w:rsidRPr="00936EB6" w:rsidTr="0072276B">
        <w:trPr>
          <w:trHeight w:val="567"/>
        </w:trPr>
        <w:tc>
          <w:tcPr>
            <w:tcW w:w="10490" w:type="dxa"/>
            <w:gridSpan w:val="5"/>
            <w:shd w:val="clear" w:color="auto" w:fill="auto"/>
            <w:tcMar>
              <w:left w:w="103" w:type="dxa"/>
            </w:tcMar>
          </w:tcPr>
          <w:p w:rsidR="00027B2B" w:rsidRPr="00936EB6" w:rsidRDefault="00664A47" w:rsidP="006B5723">
            <w:r w:rsidRPr="00936EB6">
              <w:t>Local e data:</w:t>
            </w:r>
            <w:r w:rsidR="0069493F" w:rsidRPr="00936EB6">
              <w:t xml:space="preserve">  </w:t>
            </w:r>
          </w:p>
        </w:tc>
      </w:tr>
      <w:tr w:rsidR="00027B2B" w:rsidRPr="00936EB6" w:rsidTr="00EB2879">
        <w:trPr>
          <w:trHeight w:val="567"/>
        </w:trPr>
        <w:tc>
          <w:tcPr>
            <w:tcW w:w="3436" w:type="dxa"/>
            <w:gridSpan w:val="2"/>
            <w:shd w:val="clear" w:color="auto" w:fill="auto"/>
            <w:tcMar>
              <w:left w:w="103" w:type="dxa"/>
            </w:tcMar>
          </w:tcPr>
          <w:p w:rsidR="00B85B8B" w:rsidRPr="00936EB6" w:rsidRDefault="00B85B8B" w:rsidP="00B85B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B85B8B" w:rsidRPr="00936EB6" w:rsidRDefault="00B85B8B" w:rsidP="00B85B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AB5FBA" w:rsidRPr="00936EB6" w:rsidRDefault="00AB5FBA" w:rsidP="00B85B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B85B8B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A65F97" w:rsidRPr="00936EB6" w:rsidRDefault="00A65F97" w:rsidP="00345F76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C81BD3" w:rsidRPr="00936EB6" w:rsidRDefault="007A28E6" w:rsidP="00C81BD3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36EB6">
              <w:t>_________________</w:t>
            </w:r>
          </w:p>
          <w:p w:rsidR="00676BAB" w:rsidRPr="00936EB6" w:rsidRDefault="00664A47" w:rsidP="00C81BD3">
            <w:pPr>
              <w:jc w:val="center"/>
              <w:rPr>
                <w:sz w:val="22"/>
                <w:szCs w:val="22"/>
              </w:rPr>
            </w:pPr>
            <w:r w:rsidRPr="00936EB6">
              <w:rPr>
                <w:sz w:val="22"/>
                <w:szCs w:val="22"/>
              </w:rPr>
              <w:t>Membro</w:t>
            </w:r>
          </w:p>
        </w:tc>
        <w:tc>
          <w:tcPr>
            <w:tcW w:w="3794" w:type="dxa"/>
            <w:gridSpan w:val="2"/>
            <w:shd w:val="clear" w:color="auto" w:fill="auto"/>
            <w:tcMar>
              <w:left w:w="103" w:type="dxa"/>
            </w:tcMar>
          </w:tcPr>
          <w:p w:rsidR="00027B2B" w:rsidRPr="00936EB6" w:rsidRDefault="00027B2B" w:rsidP="00463213">
            <w:pPr>
              <w:jc w:val="center"/>
              <w:rPr>
                <w:sz w:val="22"/>
                <w:szCs w:val="22"/>
              </w:rPr>
            </w:pPr>
          </w:p>
          <w:p w:rsidR="00AB5FBA" w:rsidRPr="00936EB6" w:rsidRDefault="00AB5FBA" w:rsidP="00463213">
            <w:pPr>
              <w:jc w:val="center"/>
              <w:rPr>
                <w:sz w:val="22"/>
                <w:szCs w:val="22"/>
              </w:rPr>
            </w:pPr>
          </w:p>
          <w:p w:rsidR="00027B2B" w:rsidRPr="00936EB6" w:rsidRDefault="00027B2B" w:rsidP="00463213">
            <w:pPr>
              <w:jc w:val="center"/>
              <w:rPr>
                <w:sz w:val="22"/>
                <w:szCs w:val="22"/>
              </w:rPr>
            </w:pPr>
          </w:p>
          <w:p w:rsidR="007A28E6" w:rsidRPr="00936EB6" w:rsidRDefault="007A28E6" w:rsidP="00463213">
            <w:pPr>
              <w:jc w:val="center"/>
              <w:rPr>
                <w:sz w:val="22"/>
                <w:szCs w:val="22"/>
              </w:rPr>
            </w:pPr>
          </w:p>
          <w:p w:rsidR="0036190E" w:rsidRPr="00936EB6" w:rsidRDefault="0036190E" w:rsidP="00345F76">
            <w:pPr>
              <w:rPr>
                <w:sz w:val="22"/>
                <w:szCs w:val="22"/>
              </w:rPr>
            </w:pPr>
          </w:p>
          <w:p w:rsidR="00B85B8B" w:rsidRPr="00936EB6" w:rsidRDefault="007A28E6" w:rsidP="003C7033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36EB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____________________________</w:t>
            </w:r>
          </w:p>
          <w:p w:rsidR="00027B2B" w:rsidRPr="00936EB6" w:rsidRDefault="00664A47" w:rsidP="000541C7">
            <w:pPr>
              <w:jc w:val="center"/>
              <w:rPr>
                <w:sz w:val="22"/>
                <w:szCs w:val="22"/>
              </w:rPr>
            </w:pPr>
            <w:r w:rsidRPr="00936EB6">
              <w:rPr>
                <w:sz w:val="22"/>
                <w:szCs w:val="22"/>
              </w:rPr>
              <w:t>Presidente</w:t>
            </w:r>
          </w:p>
          <w:p w:rsidR="001C63E1" w:rsidRPr="00936EB6" w:rsidRDefault="001C63E1" w:rsidP="0005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left w:w="103" w:type="dxa"/>
            </w:tcMar>
          </w:tcPr>
          <w:p w:rsidR="007A28E6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7A28E6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7A28E6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36EB6">
              <w:t>_________________</w:t>
            </w:r>
          </w:p>
          <w:p w:rsidR="0062249C" w:rsidRPr="00936EB6" w:rsidRDefault="007A28E6" w:rsidP="007A28E6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936EB6">
              <w:rPr>
                <w:sz w:val="22"/>
                <w:szCs w:val="22"/>
              </w:rPr>
              <w:t>Membro</w:t>
            </w:r>
          </w:p>
        </w:tc>
      </w:tr>
    </w:tbl>
    <w:p w:rsidR="00027B2B" w:rsidRPr="00936EB6" w:rsidRDefault="00027B2B">
      <w:pPr>
        <w:rPr>
          <w:sz w:val="12"/>
          <w:szCs w:val="12"/>
        </w:rPr>
      </w:pPr>
    </w:p>
    <w:p w:rsidR="00027B2B" w:rsidRPr="00936EB6" w:rsidRDefault="00664A47">
      <w:pPr>
        <w:rPr>
          <w:sz w:val="20"/>
        </w:rPr>
      </w:pPr>
      <w:r w:rsidRPr="00936EB6">
        <w:rPr>
          <w:sz w:val="20"/>
        </w:rPr>
        <w:t>(*)</w:t>
      </w:r>
      <w:r w:rsidR="00043D46" w:rsidRPr="00936EB6">
        <w:rPr>
          <w:sz w:val="20"/>
        </w:rPr>
        <w:t xml:space="preserve"> </w:t>
      </w:r>
      <w:r w:rsidRPr="00936EB6">
        <w:rPr>
          <w:sz w:val="20"/>
        </w:rPr>
        <w:t>Para efeitos de aplicação de critérios estabelecidos neste Termo, deve ser considerado:</w:t>
      </w:r>
    </w:p>
    <w:p w:rsidR="00027B2B" w:rsidRPr="00936EB6" w:rsidRDefault="00664A47">
      <w:pPr>
        <w:pStyle w:val="PargrafodaLista"/>
        <w:numPr>
          <w:ilvl w:val="0"/>
          <w:numId w:val="1"/>
        </w:numPr>
        <w:rPr>
          <w:sz w:val="20"/>
        </w:rPr>
      </w:pPr>
      <w:r w:rsidRPr="00936EB6">
        <w:rPr>
          <w:sz w:val="20"/>
        </w:rPr>
        <w:t>Bom: quando estiver em perfeito estado e apto a uso;</w:t>
      </w:r>
    </w:p>
    <w:p w:rsidR="00027B2B" w:rsidRPr="00936EB6" w:rsidRDefault="00664A47">
      <w:pPr>
        <w:pStyle w:val="PargrafodaLista"/>
        <w:numPr>
          <w:ilvl w:val="0"/>
          <w:numId w:val="1"/>
        </w:numPr>
        <w:rPr>
          <w:sz w:val="20"/>
        </w:rPr>
      </w:pPr>
      <w:r w:rsidRPr="00936EB6">
        <w:rPr>
          <w:sz w:val="20"/>
        </w:rPr>
        <w:t>Recuperável: quando o bem necessitar de reparos que possam ser realizados pela UFSC;</w:t>
      </w:r>
    </w:p>
    <w:p w:rsidR="00027B2B" w:rsidRPr="00936EB6" w:rsidRDefault="00664A47">
      <w:pPr>
        <w:pStyle w:val="PargrafodaLista"/>
        <w:numPr>
          <w:ilvl w:val="0"/>
          <w:numId w:val="1"/>
        </w:numPr>
        <w:rPr>
          <w:sz w:val="20"/>
        </w:rPr>
      </w:pPr>
      <w:r w:rsidRPr="00936EB6">
        <w:rPr>
          <w:sz w:val="20"/>
        </w:rPr>
        <w:t>Antieconômico: quando sua recuperação for onerosa ou o seu rendimento precário, em virtude do uso prolongado, desgaste prematur</w:t>
      </w:r>
      <w:r w:rsidR="00EE4EF3">
        <w:rPr>
          <w:sz w:val="20"/>
        </w:rPr>
        <w:t>o</w:t>
      </w:r>
      <w:r w:rsidRPr="00936EB6">
        <w:rPr>
          <w:sz w:val="20"/>
        </w:rPr>
        <w:t xml:space="preserve"> ou obsoletismo;</w:t>
      </w:r>
    </w:p>
    <w:p w:rsidR="00027B2B" w:rsidRPr="00936EB6" w:rsidRDefault="00664A47">
      <w:pPr>
        <w:pStyle w:val="PargrafodaLista"/>
        <w:numPr>
          <w:ilvl w:val="0"/>
          <w:numId w:val="1"/>
        </w:numPr>
        <w:rPr>
          <w:sz w:val="20"/>
        </w:rPr>
      </w:pPr>
      <w:r w:rsidRPr="00936EB6">
        <w:rPr>
          <w:sz w:val="20"/>
        </w:rPr>
        <w:t>Irrecuperável: quando o bem não puder ser mais usado para o fim a que se destina, devido à perda de suas características ou em razão da inviabilidade econômica de sua recuperação; um bem móvel será considerado irrecuperável por inviabilidade econômica quando o custo de sua recuperação for superior ao valor do bem.</w:t>
      </w:r>
    </w:p>
    <w:p w:rsidR="007A28E6" w:rsidRPr="00936EB6" w:rsidRDefault="007A28E6" w:rsidP="007A28E6">
      <w:pPr>
        <w:pStyle w:val="PargrafodaLista"/>
        <w:rPr>
          <w:sz w:val="20"/>
        </w:rPr>
      </w:pPr>
    </w:p>
    <w:p w:rsidR="00027B2B" w:rsidRPr="00936EB6" w:rsidRDefault="00043D46">
      <w:pPr>
        <w:rPr>
          <w:sz w:val="20"/>
        </w:rPr>
      </w:pPr>
      <w:r w:rsidRPr="00936EB6">
        <w:rPr>
          <w:sz w:val="20"/>
        </w:rPr>
        <w:t>(*</w:t>
      </w:r>
      <w:r w:rsidR="00664A47" w:rsidRPr="00936EB6">
        <w:rPr>
          <w:sz w:val="20"/>
        </w:rPr>
        <w:t>*) Considerando a falta de servidores no Departamento de Gestão Patrimonial e as dificuldades logísticas envolvidas na avaliação dos bens, o membro indicado pelo DGP conforme Art. 2º da Portaria 173/GR/98 e Presidente desta comissão delega a efetiva avaliação aos seus demais membros vinculados à unidade a qual se destinam os bens, ficando a presidência a cargo tão somente da condução dos trabalhos e encaminhamento dos respectivos documentos.</w:t>
      </w:r>
    </w:p>
    <w:p w:rsidR="007A28E6" w:rsidRDefault="007A28E6">
      <w:pPr>
        <w:rPr>
          <w:sz w:val="20"/>
        </w:rPr>
      </w:pPr>
    </w:p>
    <w:p w:rsidR="00000617" w:rsidRDefault="00000617">
      <w:pPr>
        <w:rPr>
          <w:sz w:val="20"/>
        </w:rPr>
      </w:pPr>
      <w:r>
        <w:rPr>
          <w:sz w:val="20"/>
        </w:rPr>
        <w:br w:type="page"/>
      </w:r>
    </w:p>
    <w:p w:rsidR="00000617" w:rsidRDefault="00000617">
      <w:pPr>
        <w:rPr>
          <w:sz w:val="20"/>
        </w:rPr>
        <w:sectPr w:rsidR="00000617" w:rsidSect="00FC724A">
          <w:headerReference w:type="default" r:id="rId9"/>
          <w:footerReference w:type="default" r:id="rId10"/>
          <w:pgSz w:w="11906" w:h="16838"/>
          <w:pgMar w:top="1563" w:right="851" w:bottom="426" w:left="1701" w:header="0" w:footer="210" w:gutter="0"/>
          <w:pgNumType w:start="1"/>
          <w:cols w:space="720"/>
          <w:formProt w:val="0"/>
          <w:docGrid w:linePitch="240" w:charSpace="-6145"/>
        </w:sectPr>
      </w:pPr>
    </w:p>
    <w:p w:rsidR="00000617" w:rsidRPr="00936EB6" w:rsidRDefault="00000617">
      <w:pPr>
        <w:rPr>
          <w:sz w:val="20"/>
        </w:rPr>
      </w:pPr>
    </w:p>
    <w:p w:rsidR="00936EB6" w:rsidRPr="00936EB6" w:rsidRDefault="00936EB6" w:rsidP="00CE3C66">
      <w:pPr>
        <w:ind w:left="1416"/>
        <w:rPr>
          <w:b/>
          <w:color w:val="000000" w:themeColor="text1"/>
          <w:szCs w:val="24"/>
        </w:rPr>
      </w:pPr>
      <w:r w:rsidRPr="00936EB6">
        <w:rPr>
          <w:b/>
          <w:color w:val="000000" w:themeColor="text1"/>
          <w:szCs w:val="24"/>
        </w:rPr>
        <w:t>Processo nº: 23080.______________________</w:t>
      </w:r>
      <w:r w:rsidRPr="00936EB6">
        <w:rPr>
          <w:b/>
          <w:color w:val="000000" w:themeColor="text1"/>
          <w:szCs w:val="24"/>
        </w:rPr>
        <w:tab/>
      </w:r>
      <w:r w:rsidRPr="00936EB6">
        <w:rPr>
          <w:b/>
          <w:color w:val="000000" w:themeColor="text1"/>
          <w:szCs w:val="24"/>
        </w:rPr>
        <w:tab/>
        <w:t xml:space="preserve">       </w:t>
      </w:r>
    </w:p>
    <w:p w:rsidR="00D331D4" w:rsidRPr="00936EB6" w:rsidRDefault="00D331D4" w:rsidP="00CE3C66">
      <w:pPr>
        <w:ind w:left="1416"/>
        <w:rPr>
          <w:b/>
          <w:szCs w:val="24"/>
        </w:rPr>
      </w:pPr>
    </w:p>
    <w:tbl>
      <w:tblPr>
        <w:tblStyle w:val="Tabelacomgrade"/>
        <w:tblW w:w="0" w:type="auto"/>
        <w:tblInd w:w="1524" w:type="dxa"/>
        <w:tblLook w:val="04A0" w:firstRow="1" w:lastRow="0" w:firstColumn="1" w:lastColumn="0" w:noHBand="0" w:noVBand="1"/>
      </w:tblPr>
      <w:tblGrid>
        <w:gridCol w:w="12616"/>
      </w:tblGrid>
      <w:tr w:rsidR="00936EB6" w:rsidRPr="00936EB6" w:rsidTr="00CE3C66">
        <w:tc>
          <w:tcPr>
            <w:tcW w:w="12616" w:type="dxa"/>
          </w:tcPr>
          <w:p w:rsidR="00936EB6" w:rsidRPr="00936EB6" w:rsidRDefault="00936EB6" w:rsidP="00936EB6">
            <w:pPr>
              <w:jc w:val="center"/>
              <w:rPr>
                <w:b/>
                <w:color w:val="FF0000"/>
                <w:sz w:val="20"/>
              </w:rPr>
            </w:pPr>
            <w:r w:rsidRPr="00936EB6">
              <w:rPr>
                <w:b/>
                <w:szCs w:val="24"/>
              </w:rPr>
              <w:t>ATENÇÃO</w:t>
            </w:r>
          </w:p>
          <w:p w:rsidR="00936EB6" w:rsidRPr="00936EB6" w:rsidRDefault="00936EB6" w:rsidP="00936EB6">
            <w:pPr>
              <w:pStyle w:val="PargrafodaLista"/>
              <w:numPr>
                <w:ilvl w:val="0"/>
                <w:numId w:val="5"/>
              </w:numPr>
              <w:ind w:left="284"/>
              <w:rPr>
                <w:szCs w:val="24"/>
              </w:rPr>
            </w:pPr>
            <w:r w:rsidRPr="00936EB6">
              <w:rPr>
                <w:szCs w:val="24"/>
              </w:rPr>
              <w:t>Esta folha somente deve ser utilizada se os dados a serem preenchidos na tabela abaixo ainda não constarem</w:t>
            </w:r>
            <w:r w:rsidR="00EC2C4B">
              <w:rPr>
                <w:szCs w:val="24"/>
              </w:rPr>
              <w:t xml:space="preserve"> </w:t>
            </w:r>
            <w:r w:rsidRPr="00936EB6">
              <w:rPr>
                <w:szCs w:val="24"/>
              </w:rPr>
              <w:t>na folha 01.</w:t>
            </w:r>
          </w:p>
          <w:p w:rsidR="00936EB6" w:rsidRPr="00936EB6" w:rsidRDefault="00936EB6" w:rsidP="00936EB6">
            <w:pPr>
              <w:pStyle w:val="PargrafodaLista"/>
              <w:numPr>
                <w:ilvl w:val="0"/>
                <w:numId w:val="5"/>
              </w:numPr>
              <w:ind w:left="284"/>
              <w:rPr>
                <w:szCs w:val="24"/>
              </w:rPr>
            </w:pPr>
            <w:r w:rsidRPr="00936EB6">
              <w:t>As linhas devem ser incluídas ou excluídas, conforme necessidade.</w:t>
            </w:r>
          </w:p>
        </w:tc>
      </w:tr>
    </w:tbl>
    <w:p w:rsidR="00936EB6" w:rsidRPr="00936EB6" w:rsidRDefault="00936EB6" w:rsidP="00CE3C66">
      <w:pPr>
        <w:ind w:left="1416"/>
        <w:rPr>
          <w:b/>
          <w:color w:val="000000" w:themeColor="text1"/>
          <w:szCs w:val="24"/>
        </w:rPr>
      </w:pPr>
    </w:p>
    <w:p w:rsidR="00C81BD3" w:rsidRPr="00936EB6" w:rsidRDefault="00C81BD3">
      <w:pPr>
        <w:rPr>
          <w:b/>
          <w:szCs w:val="24"/>
        </w:rPr>
      </w:pPr>
    </w:p>
    <w:p w:rsidR="00C81BD3" w:rsidRPr="00936EB6" w:rsidRDefault="00936EB6" w:rsidP="00C81BD3">
      <w:pPr>
        <w:pStyle w:val="Cabealho"/>
        <w:jc w:val="center"/>
        <w:rPr>
          <w:b/>
          <w:szCs w:val="24"/>
          <w:lang w:val="pt-BR"/>
        </w:rPr>
      </w:pPr>
      <w:r w:rsidRPr="00936EB6">
        <w:rPr>
          <w:b/>
          <w:szCs w:val="24"/>
          <w:lang w:val="pt-BR"/>
        </w:rPr>
        <w:t xml:space="preserve">Relação </w:t>
      </w:r>
      <w:r>
        <w:rPr>
          <w:b/>
          <w:szCs w:val="24"/>
          <w:lang w:val="pt-BR"/>
        </w:rPr>
        <w:t>d</w:t>
      </w:r>
      <w:r w:rsidRPr="00936EB6">
        <w:rPr>
          <w:b/>
          <w:szCs w:val="24"/>
          <w:lang w:val="pt-BR"/>
        </w:rPr>
        <w:t xml:space="preserve">e Bens </w:t>
      </w:r>
      <w:r>
        <w:rPr>
          <w:b/>
          <w:szCs w:val="24"/>
          <w:lang w:val="pt-BR"/>
        </w:rPr>
        <w:t>a</w:t>
      </w:r>
      <w:r w:rsidRPr="00936EB6">
        <w:rPr>
          <w:b/>
          <w:szCs w:val="24"/>
          <w:lang w:val="pt-BR"/>
        </w:rPr>
        <w:t xml:space="preserve"> Serem Doados</w:t>
      </w:r>
    </w:p>
    <w:p w:rsidR="00C81BD3" w:rsidRPr="00936EB6" w:rsidRDefault="00C81BD3" w:rsidP="00C81BD3">
      <w:pPr>
        <w:rPr>
          <w:b/>
        </w:rPr>
      </w:pPr>
    </w:p>
    <w:tbl>
      <w:tblPr>
        <w:tblStyle w:val="Tabelacomgrade"/>
        <w:tblW w:w="15636" w:type="dxa"/>
        <w:jc w:val="center"/>
        <w:tblInd w:w="-531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38"/>
        <w:gridCol w:w="4820"/>
        <w:gridCol w:w="1891"/>
        <w:gridCol w:w="1855"/>
        <w:gridCol w:w="2888"/>
        <w:gridCol w:w="1820"/>
        <w:gridCol w:w="1524"/>
      </w:tblGrid>
      <w:tr w:rsidR="003E2852" w:rsidRPr="00936EB6" w:rsidTr="003E2852">
        <w:trPr>
          <w:trHeight w:val="374"/>
          <w:jc w:val="center"/>
        </w:trPr>
        <w:tc>
          <w:tcPr>
            <w:tcW w:w="838" w:type="dxa"/>
            <w:vMerge w:val="restart"/>
            <w:shd w:val="clear" w:color="auto" w:fill="BDD6EE" w:themeFill="accent1" w:themeFillTint="66"/>
            <w:tcMar>
              <w:left w:w="103" w:type="dxa"/>
            </w:tcMar>
          </w:tcPr>
          <w:p w:rsidR="003E2852" w:rsidRPr="00936EB6" w:rsidRDefault="003E2852" w:rsidP="000816CE">
            <w:pPr>
              <w:pStyle w:val="Cabealho"/>
              <w:jc w:val="center"/>
              <w:rPr>
                <w:b/>
                <w:bCs/>
                <w:szCs w:val="24"/>
              </w:rPr>
            </w:pPr>
            <w:proofErr w:type="spellStart"/>
            <w:r w:rsidRPr="00936EB6">
              <w:rPr>
                <w:b/>
                <w:bCs/>
                <w:szCs w:val="24"/>
                <w:lang w:val="pt-BR"/>
              </w:rPr>
              <w:t>Qtde</w:t>
            </w:r>
            <w:proofErr w:type="spellEnd"/>
          </w:p>
        </w:tc>
        <w:tc>
          <w:tcPr>
            <w:tcW w:w="4820" w:type="dxa"/>
            <w:vMerge w:val="restart"/>
            <w:shd w:val="clear" w:color="auto" w:fill="BDD6EE" w:themeFill="accent1" w:themeFillTint="66"/>
            <w:tcMar>
              <w:left w:w="103" w:type="dxa"/>
            </w:tcMar>
          </w:tcPr>
          <w:p w:rsidR="003E2852" w:rsidRPr="00936EB6" w:rsidRDefault="003E2852" w:rsidP="000816CE">
            <w:pPr>
              <w:pStyle w:val="Cabealho"/>
              <w:jc w:val="center"/>
              <w:rPr>
                <w:b/>
                <w:bCs/>
                <w:szCs w:val="24"/>
              </w:rPr>
            </w:pPr>
            <w:r w:rsidRPr="00936EB6">
              <w:rPr>
                <w:b/>
                <w:bCs/>
                <w:szCs w:val="24"/>
                <w:lang w:val="pt-BR"/>
              </w:rPr>
              <w:t>Descrição do bem</w:t>
            </w:r>
          </w:p>
        </w:tc>
        <w:tc>
          <w:tcPr>
            <w:tcW w:w="8454" w:type="dxa"/>
            <w:gridSpan w:val="4"/>
            <w:shd w:val="clear" w:color="auto" w:fill="BDD6EE" w:themeFill="accent1" w:themeFillTint="66"/>
          </w:tcPr>
          <w:p w:rsidR="003E2852" w:rsidRPr="00936EB6" w:rsidRDefault="003E2852" w:rsidP="003E2852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  <w:r>
              <w:rPr>
                <w:b/>
                <w:bCs/>
                <w:szCs w:val="24"/>
                <w:lang w:val="pt-BR"/>
              </w:rPr>
              <w:t>Destinação dos bens</w:t>
            </w:r>
          </w:p>
        </w:tc>
        <w:tc>
          <w:tcPr>
            <w:tcW w:w="1524" w:type="dxa"/>
            <w:vMerge w:val="restart"/>
            <w:shd w:val="clear" w:color="auto" w:fill="BDD6EE" w:themeFill="accent1" w:themeFillTint="66"/>
            <w:tcMar>
              <w:left w:w="103" w:type="dxa"/>
            </w:tcMar>
          </w:tcPr>
          <w:p w:rsidR="003E2852" w:rsidRPr="00936EB6" w:rsidRDefault="003E2852" w:rsidP="007A28E6">
            <w:pPr>
              <w:pStyle w:val="Cabealho"/>
              <w:jc w:val="center"/>
              <w:rPr>
                <w:b/>
                <w:bCs/>
                <w:szCs w:val="24"/>
              </w:rPr>
            </w:pPr>
            <w:r w:rsidRPr="00936EB6">
              <w:rPr>
                <w:b/>
                <w:bCs/>
                <w:szCs w:val="24"/>
                <w:lang w:val="pt-BR"/>
              </w:rPr>
              <w:t>Estado de conservação (*)</w:t>
            </w:r>
          </w:p>
        </w:tc>
      </w:tr>
      <w:tr w:rsidR="00000617" w:rsidRPr="00936EB6" w:rsidTr="003E2852">
        <w:trPr>
          <w:trHeight w:val="435"/>
          <w:jc w:val="center"/>
        </w:trPr>
        <w:tc>
          <w:tcPr>
            <w:tcW w:w="838" w:type="dxa"/>
            <w:vMerge/>
            <w:shd w:val="clear" w:color="auto" w:fill="BDD6EE" w:themeFill="accent1" w:themeFillTint="66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</w:p>
        </w:tc>
        <w:tc>
          <w:tcPr>
            <w:tcW w:w="4820" w:type="dxa"/>
            <w:vMerge/>
            <w:shd w:val="clear" w:color="auto" w:fill="BDD6EE" w:themeFill="accent1" w:themeFillTint="66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</w:p>
        </w:tc>
        <w:tc>
          <w:tcPr>
            <w:tcW w:w="1891" w:type="dxa"/>
            <w:shd w:val="clear" w:color="auto" w:fill="BDD6EE" w:themeFill="accent1" w:themeFillTint="66"/>
          </w:tcPr>
          <w:p w:rsidR="00000617" w:rsidRPr="003E2852" w:rsidRDefault="003E2852" w:rsidP="003E2852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  <w:r w:rsidRPr="003E2852">
              <w:rPr>
                <w:b/>
                <w:color w:val="000000" w:themeColor="text1"/>
              </w:rPr>
              <w:t>Unidade</w:t>
            </w:r>
            <w:r w:rsidRPr="003E2852">
              <w:rPr>
                <w:b/>
                <w:color w:val="000000" w:themeColor="text1"/>
                <w:lang w:val="pt-BR"/>
              </w:rPr>
              <w:t>/Centro</w:t>
            </w:r>
          </w:p>
        </w:tc>
        <w:tc>
          <w:tcPr>
            <w:tcW w:w="1855" w:type="dxa"/>
            <w:shd w:val="clear" w:color="auto" w:fill="BDD6EE" w:themeFill="accent1" w:themeFillTint="66"/>
          </w:tcPr>
          <w:p w:rsidR="00000617" w:rsidRPr="003E2852" w:rsidRDefault="003E2852" w:rsidP="003E2852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  <w:r w:rsidRPr="003E2852">
              <w:rPr>
                <w:b/>
                <w:color w:val="000000" w:themeColor="text1"/>
              </w:rPr>
              <w:t>Setor</w:t>
            </w:r>
          </w:p>
        </w:tc>
        <w:tc>
          <w:tcPr>
            <w:tcW w:w="2888" w:type="dxa"/>
            <w:shd w:val="clear" w:color="auto" w:fill="BDD6EE" w:themeFill="accent1" w:themeFillTint="66"/>
          </w:tcPr>
          <w:p w:rsidR="00000617" w:rsidRPr="003E2852" w:rsidRDefault="003E2852" w:rsidP="003E2852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  <w:r w:rsidRPr="003E2852">
              <w:rPr>
                <w:b/>
                <w:color w:val="000000" w:themeColor="text1"/>
              </w:rPr>
              <w:t>Responsável</w:t>
            </w:r>
          </w:p>
        </w:tc>
        <w:tc>
          <w:tcPr>
            <w:tcW w:w="1820" w:type="dxa"/>
            <w:shd w:val="clear" w:color="auto" w:fill="BDD6EE" w:themeFill="accent1" w:themeFillTint="66"/>
          </w:tcPr>
          <w:p w:rsidR="00000617" w:rsidRPr="003E2852" w:rsidRDefault="003E2852" w:rsidP="003E2852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  <w:r w:rsidRPr="003E2852">
              <w:rPr>
                <w:b/>
                <w:color w:val="000000" w:themeColor="text1"/>
              </w:rPr>
              <w:t>Localização</w:t>
            </w:r>
          </w:p>
        </w:tc>
        <w:tc>
          <w:tcPr>
            <w:tcW w:w="1524" w:type="dxa"/>
            <w:vMerge/>
            <w:shd w:val="clear" w:color="auto" w:fill="BDD6EE" w:themeFill="accent1" w:themeFillTint="66"/>
            <w:tcMar>
              <w:left w:w="103" w:type="dxa"/>
            </w:tcMar>
          </w:tcPr>
          <w:p w:rsidR="00000617" w:rsidRPr="00936EB6" w:rsidRDefault="00000617" w:rsidP="007A28E6">
            <w:pPr>
              <w:pStyle w:val="Cabealho"/>
              <w:jc w:val="center"/>
              <w:rPr>
                <w:b/>
                <w:bCs/>
                <w:szCs w:val="24"/>
                <w:lang w:val="pt-BR"/>
              </w:rPr>
            </w:pPr>
          </w:p>
        </w:tc>
      </w:tr>
      <w:tr w:rsidR="00000617" w:rsidRPr="00936EB6" w:rsidTr="003E2852">
        <w:trPr>
          <w:trHeight w:val="567"/>
          <w:jc w:val="center"/>
        </w:trPr>
        <w:tc>
          <w:tcPr>
            <w:tcW w:w="838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0816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0816C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55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88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20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4" w:type="dxa"/>
            <w:shd w:val="clear" w:color="auto" w:fill="auto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000617" w:rsidRPr="00936EB6" w:rsidTr="003E2852">
        <w:trPr>
          <w:trHeight w:val="567"/>
          <w:jc w:val="center"/>
        </w:trPr>
        <w:tc>
          <w:tcPr>
            <w:tcW w:w="838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55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88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20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4" w:type="dxa"/>
            <w:shd w:val="clear" w:color="auto" w:fill="auto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000617" w:rsidRPr="00936EB6" w:rsidTr="003E2852">
        <w:trPr>
          <w:trHeight w:val="567"/>
          <w:jc w:val="center"/>
        </w:trPr>
        <w:tc>
          <w:tcPr>
            <w:tcW w:w="838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55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88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20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4" w:type="dxa"/>
            <w:shd w:val="clear" w:color="auto" w:fill="auto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000617" w:rsidRPr="00936EB6" w:rsidTr="003E2852">
        <w:trPr>
          <w:trHeight w:val="567"/>
          <w:jc w:val="center"/>
        </w:trPr>
        <w:tc>
          <w:tcPr>
            <w:tcW w:w="838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left w:w="103" w:type="dxa"/>
            </w:tcMar>
            <w:vAlign w:val="center"/>
          </w:tcPr>
          <w:p w:rsidR="00000617" w:rsidRPr="00936EB6" w:rsidRDefault="00000617" w:rsidP="00491FA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55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88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20" w:type="dxa"/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24" w:type="dxa"/>
            <w:shd w:val="clear" w:color="auto" w:fill="auto"/>
            <w:tcMar>
              <w:left w:w="103" w:type="dxa"/>
            </w:tcMar>
          </w:tcPr>
          <w:p w:rsidR="00000617" w:rsidRPr="00936EB6" w:rsidRDefault="00000617" w:rsidP="000816CE">
            <w:pPr>
              <w:pStyle w:val="Cabealho"/>
              <w:jc w:val="center"/>
              <w:rPr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C81BD3" w:rsidRPr="00936EB6" w:rsidRDefault="00C81BD3" w:rsidP="00C81BD3">
      <w:pPr>
        <w:rPr>
          <w:sz w:val="20"/>
        </w:rPr>
      </w:pPr>
      <w:bookmarkStart w:id="0" w:name="_GoBack"/>
      <w:bookmarkEnd w:id="0"/>
    </w:p>
    <w:p w:rsidR="00C81BD3" w:rsidRPr="00936EB6" w:rsidRDefault="007A28E6" w:rsidP="00C81BD3">
      <w:pPr>
        <w:rPr>
          <w:sz w:val="20"/>
        </w:rPr>
      </w:pPr>
      <w:r w:rsidRPr="00936EB6">
        <w:rPr>
          <w:sz w:val="20"/>
        </w:rPr>
        <w:t xml:space="preserve"> </w:t>
      </w:r>
      <w:r w:rsidR="00C81BD3" w:rsidRPr="00936EB6">
        <w:rPr>
          <w:sz w:val="20"/>
        </w:rPr>
        <w:t xml:space="preserve">(*) Para efeitos de aplicação de critérios estabelecidos neste Termo, </w:t>
      </w:r>
      <w:proofErr w:type="gramStart"/>
      <w:r w:rsidR="00C81BD3" w:rsidRPr="00936EB6">
        <w:rPr>
          <w:sz w:val="20"/>
        </w:rPr>
        <w:t>dever</w:t>
      </w:r>
      <w:proofErr w:type="gramEnd"/>
      <w:r w:rsidR="00C81BD3" w:rsidRPr="00936EB6">
        <w:rPr>
          <w:sz w:val="20"/>
        </w:rPr>
        <w:t xml:space="preserve"> ser considerado:</w:t>
      </w:r>
    </w:p>
    <w:p w:rsidR="00C81BD3" w:rsidRPr="00936EB6" w:rsidRDefault="00C81BD3" w:rsidP="00C81BD3">
      <w:pPr>
        <w:pStyle w:val="PargrafodaLista"/>
        <w:numPr>
          <w:ilvl w:val="0"/>
          <w:numId w:val="3"/>
        </w:numPr>
        <w:rPr>
          <w:sz w:val="20"/>
        </w:rPr>
      </w:pPr>
      <w:r w:rsidRPr="00936EB6">
        <w:rPr>
          <w:sz w:val="20"/>
        </w:rPr>
        <w:t>Bom: quando estiver em perfeito estado e apto a uso;</w:t>
      </w:r>
    </w:p>
    <w:p w:rsidR="00C81BD3" w:rsidRPr="00936EB6" w:rsidRDefault="00C81BD3" w:rsidP="00C81BD3">
      <w:pPr>
        <w:pStyle w:val="PargrafodaLista"/>
        <w:numPr>
          <w:ilvl w:val="0"/>
          <w:numId w:val="3"/>
        </w:numPr>
        <w:rPr>
          <w:sz w:val="20"/>
        </w:rPr>
      </w:pPr>
      <w:r w:rsidRPr="00936EB6">
        <w:rPr>
          <w:sz w:val="20"/>
        </w:rPr>
        <w:t>Recuperável: quando o bem necessitar de reparos que possam ser realizados pela UFSC;</w:t>
      </w:r>
    </w:p>
    <w:p w:rsidR="00C81BD3" w:rsidRPr="00936EB6" w:rsidRDefault="00C81BD3" w:rsidP="00C81BD3">
      <w:pPr>
        <w:pStyle w:val="PargrafodaLista"/>
        <w:numPr>
          <w:ilvl w:val="0"/>
          <w:numId w:val="3"/>
        </w:numPr>
        <w:rPr>
          <w:sz w:val="20"/>
        </w:rPr>
      </w:pPr>
      <w:r w:rsidRPr="00936EB6">
        <w:rPr>
          <w:sz w:val="20"/>
        </w:rPr>
        <w:t>Antieconômico: quando sua recuperação for onerosa ou o seu rendimento precário, em virtude do uso prolongado, desgaste prematur</w:t>
      </w:r>
      <w:r w:rsidR="00EE4EF3">
        <w:rPr>
          <w:sz w:val="20"/>
        </w:rPr>
        <w:t>o</w:t>
      </w:r>
      <w:r w:rsidRPr="00936EB6">
        <w:rPr>
          <w:sz w:val="20"/>
        </w:rPr>
        <w:t xml:space="preserve"> ou obsoletismo;</w:t>
      </w:r>
    </w:p>
    <w:p w:rsidR="00FC724A" w:rsidRPr="00FC724A" w:rsidRDefault="00C81BD3" w:rsidP="00FC724A">
      <w:pPr>
        <w:pStyle w:val="PargrafodaLista"/>
        <w:numPr>
          <w:ilvl w:val="0"/>
          <w:numId w:val="3"/>
        </w:numPr>
        <w:rPr>
          <w:sz w:val="20"/>
        </w:rPr>
      </w:pPr>
      <w:r w:rsidRPr="00936EB6">
        <w:rPr>
          <w:sz w:val="20"/>
        </w:rPr>
        <w:t>Irrecuperável: quando o bem não puder ser mais usado para o fim a que se destina, devido à perda de suas características ou em razão da inviabilidade econômica de sua recuperação; um bem móvel será considerado irrecuperável por inviabilidade econômica quando o custo de sua recuperação for superior ao valor do bem.</w:t>
      </w:r>
    </w:p>
    <w:sectPr w:rsidR="00FC724A" w:rsidRPr="00FC724A" w:rsidSect="003E2852">
      <w:pgSz w:w="16838" w:h="11906" w:orient="landscape"/>
      <w:pgMar w:top="851" w:right="425" w:bottom="1701" w:left="851" w:header="0" w:footer="210" w:gutter="0"/>
      <w:pgNumType w:start="2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57" w:rsidRDefault="00352B57">
      <w:r>
        <w:separator/>
      </w:r>
    </w:p>
  </w:endnote>
  <w:endnote w:type="continuationSeparator" w:id="0">
    <w:p w:rsidR="00352B57" w:rsidRDefault="0035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1000A87" w:usb1="00000000" w:usb2="00000000" w:usb3="00000000" w:csb0="0001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B" w:rsidRDefault="00027B2B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57" w:rsidRDefault="00352B57">
      <w:r>
        <w:separator/>
      </w:r>
    </w:p>
  </w:footnote>
  <w:footnote w:type="continuationSeparator" w:id="0">
    <w:p w:rsidR="00352B57" w:rsidRDefault="00352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D3" w:rsidRDefault="00C81BD3" w:rsidP="00C81BD3">
    <w:pPr>
      <w:pStyle w:val="Legenda"/>
    </w:pPr>
    <w:r>
      <w:rPr>
        <w:noProof/>
      </w:rPr>
      <w:drawing>
        <wp:anchor distT="0" distB="9525" distL="114300" distR="122555" simplePos="0" relativeHeight="251659264" behindDoc="0" locked="0" layoutInCell="1" allowOverlap="1" wp14:anchorId="2F7CABE1" wp14:editId="5CDAA363">
          <wp:simplePos x="0" y="0"/>
          <wp:positionH relativeFrom="column">
            <wp:posOffset>2806065</wp:posOffset>
          </wp:positionH>
          <wp:positionV relativeFrom="paragraph">
            <wp:posOffset>172085</wp:posOffset>
          </wp:positionV>
          <wp:extent cx="258445" cy="276225"/>
          <wp:effectExtent l="0" t="0" r="825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1BD3" w:rsidRDefault="00C81BD3" w:rsidP="00C81BD3">
    <w:pPr>
      <w:pStyle w:val="Cabealho"/>
      <w:jc w:val="center"/>
      <w:rPr>
        <w:rFonts w:ascii="Verdana" w:hAnsi="Verdana"/>
        <w:sz w:val="16"/>
        <w:szCs w:val="16"/>
        <w:lang w:val="pt-BR"/>
      </w:rPr>
    </w:pPr>
  </w:p>
  <w:p w:rsidR="00C81BD3" w:rsidRDefault="00C81BD3" w:rsidP="00C81BD3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C81BD3" w:rsidRDefault="00C81BD3" w:rsidP="00C81BD3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MINISTÉRIO DA EDUCAÇÃO</w:t>
    </w:r>
  </w:p>
  <w:p w:rsidR="00C81BD3" w:rsidRDefault="00C81BD3" w:rsidP="00C81BD3">
    <w:pPr>
      <w:pStyle w:val="Cabealho"/>
      <w:jc w:val="center"/>
      <w:rPr>
        <w:rFonts w:ascii="Verdana" w:hAnsi="Verdana"/>
        <w:b/>
        <w:sz w:val="16"/>
        <w:szCs w:val="16"/>
        <w:lang w:val="pt-BR"/>
      </w:rPr>
    </w:pPr>
    <w:r>
      <w:rPr>
        <w:rFonts w:ascii="Verdana" w:hAnsi="Verdana"/>
        <w:b/>
        <w:sz w:val="16"/>
        <w:szCs w:val="16"/>
      </w:rPr>
      <w:t>UNIVERSIDADE FEDERAL DE SANTA CATARINA</w:t>
    </w:r>
  </w:p>
  <w:p w:rsidR="00936EB6" w:rsidRDefault="00936EB6" w:rsidP="00C81BD3">
    <w:pPr>
      <w:pStyle w:val="Cabealho"/>
      <w:jc w:val="center"/>
      <w:rPr>
        <w:rFonts w:ascii="Verdana" w:hAnsi="Verdana"/>
        <w:b/>
        <w:sz w:val="16"/>
        <w:szCs w:val="16"/>
        <w:lang w:val="pt-BR"/>
      </w:rPr>
    </w:pPr>
  </w:p>
  <w:p w:rsidR="00936EB6" w:rsidRDefault="00936EB6" w:rsidP="00936EB6">
    <w:pPr>
      <w:jc w:val="center"/>
      <w:rPr>
        <w:b/>
      </w:rPr>
    </w:pPr>
    <w:r w:rsidRPr="00936EB6">
      <w:rPr>
        <w:b/>
      </w:rPr>
      <w:t>TERMO DE AVALIAÇÃO DE BENS</w:t>
    </w:r>
  </w:p>
  <w:p w:rsidR="00FC724A" w:rsidRPr="00FC724A" w:rsidRDefault="00FC724A" w:rsidP="00FC724A">
    <w:pPr>
      <w:jc w:val="right"/>
      <w:rPr>
        <w:b/>
        <w:szCs w:val="24"/>
      </w:rPr>
    </w:pPr>
    <w:r w:rsidRPr="00FC724A">
      <w:rPr>
        <w:b/>
        <w:szCs w:val="24"/>
      </w:rPr>
      <w:t xml:space="preserve">Página </w:t>
    </w:r>
    <w:r w:rsidRPr="00FC724A">
      <w:rPr>
        <w:b/>
        <w:szCs w:val="24"/>
      </w:rPr>
      <w:fldChar w:fldCharType="begin"/>
    </w:r>
    <w:r w:rsidRPr="00FC724A">
      <w:rPr>
        <w:b/>
        <w:szCs w:val="24"/>
      </w:rPr>
      <w:instrText>PAGE  \* Arabic  \* MERGEFORMAT</w:instrText>
    </w:r>
    <w:r w:rsidRPr="00FC724A">
      <w:rPr>
        <w:b/>
        <w:szCs w:val="24"/>
      </w:rPr>
      <w:fldChar w:fldCharType="separate"/>
    </w:r>
    <w:r w:rsidR="0021304C">
      <w:rPr>
        <w:b/>
        <w:noProof/>
        <w:szCs w:val="24"/>
      </w:rPr>
      <w:t>2</w:t>
    </w:r>
    <w:r w:rsidRPr="00FC724A">
      <w:rPr>
        <w:b/>
        <w:szCs w:val="24"/>
      </w:rPr>
      <w:fldChar w:fldCharType="end"/>
    </w:r>
    <w:r w:rsidRPr="00FC724A">
      <w:rPr>
        <w:b/>
        <w:szCs w:val="24"/>
      </w:rPr>
      <w:t xml:space="preserve"> de </w:t>
    </w:r>
    <w:r w:rsidRPr="00FC724A">
      <w:rPr>
        <w:b/>
        <w:szCs w:val="24"/>
      </w:rPr>
      <w:fldChar w:fldCharType="begin"/>
    </w:r>
    <w:r w:rsidRPr="00FC724A">
      <w:rPr>
        <w:b/>
        <w:szCs w:val="24"/>
      </w:rPr>
      <w:instrText>NUMPAGES  \* Arabic  \* MERGEFORMAT</w:instrText>
    </w:r>
    <w:r w:rsidRPr="00FC724A">
      <w:rPr>
        <w:b/>
        <w:szCs w:val="24"/>
      </w:rPr>
      <w:fldChar w:fldCharType="separate"/>
    </w:r>
    <w:r w:rsidR="0021304C">
      <w:rPr>
        <w:b/>
        <w:noProof/>
        <w:szCs w:val="24"/>
      </w:rPr>
      <w:t>2</w:t>
    </w:r>
    <w:r w:rsidRPr="00FC724A">
      <w:rPr>
        <w:b/>
        <w:szCs w:val="24"/>
      </w:rPr>
      <w:fldChar w:fldCharType="end"/>
    </w:r>
  </w:p>
  <w:p w:rsidR="00C81BD3" w:rsidRPr="00FC724A" w:rsidRDefault="00C81BD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3EE9"/>
    <w:multiLevelType w:val="multilevel"/>
    <w:tmpl w:val="707CB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B31EBB"/>
    <w:multiLevelType w:val="multilevel"/>
    <w:tmpl w:val="50704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23B8"/>
    <w:multiLevelType w:val="hybridMultilevel"/>
    <w:tmpl w:val="F7B6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05AD"/>
    <w:multiLevelType w:val="hybridMultilevel"/>
    <w:tmpl w:val="E0AA7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3477D"/>
    <w:multiLevelType w:val="multilevel"/>
    <w:tmpl w:val="507042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2B"/>
    <w:rsid w:val="00000617"/>
    <w:rsid w:val="000033F9"/>
    <w:rsid w:val="0002400D"/>
    <w:rsid w:val="00027B2B"/>
    <w:rsid w:val="00040D7C"/>
    <w:rsid w:val="000415D0"/>
    <w:rsid w:val="00043D46"/>
    <w:rsid w:val="000541C7"/>
    <w:rsid w:val="0005672B"/>
    <w:rsid w:val="00057A4B"/>
    <w:rsid w:val="00061587"/>
    <w:rsid w:val="00062915"/>
    <w:rsid w:val="00071B9E"/>
    <w:rsid w:val="000931A2"/>
    <w:rsid w:val="000E4562"/>
    <w:rsid w:val="001026BC"/>
    <w:rsid w:val="00103ED2"/>
    <w:rsid w:val="00111FFE"/>
    <w:rsid w:val="0013617F"/>
    <w:rsid w:val="00137F96"/>
    <w:rsid w:val="0016416A"/>
    <w:rsid w:val="00173717"/>
    <w:rsid w:val="00176D2E"/>
    <w:rsid w:val="001778C4"/>
    <w:rsid w:val="00184D9C"/>
    <w:rsid w:val="00191980"/>
    <w:rsid w:val="001B1F48"/>
    <w:rsid w:val="001B60CE"/>
    <w:rsid w:val="001B7C3E"/>
    <w:rsid w:val="001C63E1"/>
    <w:rsid w:val="001D7AD5"/>
    <w:rsid w:val="001E7498"/>
    <w:rsid w:val="0020342E"/>
    <w:rsid w:val="0021304C"/>
    <w:rsid w:val="002359C0"/>
    <w:rsid w:val="00235D0E"/>
    <w:rsid w:val="002517DD"/>
    <w:rsid w:val="00257C57"/>
    <w:rsid w:val="00277BE8"/>
    <w:rsid w:val="002874E6"/>
    <w:rsid w:val="00297A65"/>
    <w:rsid w:val="002A329E"/>
    <w:rsid w:val="002A6DF6"/>
    <w:rsid w:val="002A728E"/>
    <w:rsid w:val="002B7303"/>
    <w:rsid w:val="002D475F"/>
    <w:rsid w:val="002D7A18"/>
    <w:rsid w:val="002E53B7"/>
    <w:rsid w:val="002F4F3A"/>
    <w:rsid w:val="00305C3D"/>
    <w:rsid w:val="00326B56"/>
    <w:rsid w:val="0033252C"/>
    <w:rsid w:val="00345F76"/>
    <w:rsid w:val="00352B57"/>
    <w:rsid w:val="003534D7"/>
    <w:rsid w:val="00356CE1"/>
    <w:rsid w:val="0036190E"/>
    <w:rsid w:val="00391708"/>
    <w:rsid w:val="003925F9"/>
    <w:rsid w:val="0039351D"/>
    <w:rsid w:val="00396BD9"/>
    <w:rsid w:val="003A4187"/>
    <w:rsid w:val="003A549A"/>
    <w:rsid w:val="003B5E56"/>
    <w:rsid w:val="003C47E5"/>
    <w:rsid w:val="003C7033"/>
    <w:rsid w:val="003E2852"/>
    <w:rsid w:val="003F708C"/>
    <w:rsid w:val="00422919"/>
    <w:rsid w:val="00463213"/>
    <w:rsid w:val="00481034"/>
    <w:rsid w:val="00484119"/>
    <w:rsid w:val="0048783F"/>
    <w:rsid w:val="00487A56"/>
    <w:rsid w:val="00492D1E"/>
    <w:rsid w:val="00494D44"/>
    <w:rsid w:val="004B5790"/>
    <w:rsid w:val="004D1193"/>
    <w:rsid w:val="004D2523"/>
    <w:rsid w:val="004E6074"/>
    <w:rsid w:val="004E70AB"/>
    <w:rsid w:val="004F3F79"/>
    <w:rsid w:val="0050053E"/>
    <w:rsid w:val="00522949"/>
    <w:rsid w:val="0052641F"/>
    <w:rsid w:val="00531B97"/>
    <w:rsid w:val="00532717"/>
    <w:rsid w:val="00542086"/>
    <w:rsid w:val="00562018"/>
    <w:rsid w:val="00575A96"/>
    <w:rsid w:val="00575E21"/>
    <w:rsid w:val="00584954"/>
    <w:rsid w:val="00592361"/>
    <w:rsid w:val="00592F64"/>
    <w:rsid w:val="005A325C"/>
    <w:rsid w:val="005C117A"/>
    <w:rsid w:val="005D2795"/>
    <w:rsid w:val="005D6C5A"/>
    <w:rsid w:val="005F7C71"/>
    <w:rsid w:val="0062249C"/>
    <w:rsid w:val="0062590C"/>
    <w:rsid w:val="00630B0B"/>
    <w:rsid w:val="00630C62"/>
    <w:rsid w:val="006334F5"/>
    <w:rsid w:val="00635D14"/>
    <w:rsid w:val="00652431"/>
    <w:rsid w:val="00653930"/>
    <w:rsid w:val="00664A47"/>
    <w:rsid w:val="00676BAB"/>
    <w:rsid w:val="00693CDA"/>
    <w:rsid w:val="0069493F"/>
    <w:rsid w:val="006A7445"/>
    <w:rsid w:val="006B46FB"/>
    <w:rsid w:val="006B5723"/>
    <w:rsid w:val="006B74B7"/>
    <w:rsid w:val="006C627A"/>
    <w:rsid w:val="006D3573"/>
    <w:rsid w:val="006D53DB"/>
    <w:rsid w:val="006E4206"/>
    <w:rsid w:val="006F10D9"/>
    <w:rsid w:val="006F64D0"/>
    <w:rsid w:val="006F719E"/>
    <w:rsid w:val="007014C8"/>
    <w:rsid w:val="00707C65"/>
    <w:rsid w:val="00713E58"/>
    <w:rsid w:val="0071532A"/>
    <w:rsid w:val="0072276B"/>
    <w:rsid w:val="00725C72"/>
    <w:rsid w:val="007352B6"/>
    <w:rsid w:val="00742332"/>
    <w:rsid w:val="007761D2"/>
    <w:rsid w:val="00777223"/>
    <w:rsid w:val="0077775F"/>
    <w:rsid w:val="00785613"/>
    <w:rsid w:val="007A28E6"/>
    <w:rsid w:val="007A773F"/>
    <w:rsid w:val="007B5439"/>
    <w:rsid w:val="007C7B68"/>
    <w:rsid w:val="007F5A38"/>
    <w:rsid w:val="007F74C5"/>
    <w:rsid w:val="00815368"/>
    <w:rsid w:val="00831DDC"/>
    <w:rsid w:val="00834A2C"/>
    <w:rsid w:val="00843330"/>
    <w:rsid w:val="008450F1"/>
    <w:rsid w:val="00845AD7"/>
    <w:rsid w:val="0086589B"/>
    <w:rsid w:val="008735B8"/>
    <w:rsid w:val="00874C77"/>
    <w:rsid w:val="00876DF0"/>
    <w:rsid w:val="0089524B"/>
    <w:rsid w:val="008A0A04"/>
    <w:rsid w:val="008C4BA7"/>
    <w:rsid w:val="008D1209"/>
    <w:rsid w:val="008D23D2"/>
    <w:rsid w:val="008F1A25"/>
    <w:rsid w:val="008F2354"/>
    <w:rsid w:val="008F7CC3"/>
    <w:rsid w:val="00922232"/>
    <w:rsid w:val="00924495"/>
    <w:rsid w:val="00930BEB"/>
    <w:rsid w:val="00931F7B"/>
    <w:rsid w:val="00936A43"/>
    <w:rsid w:val="00936EB6"/>
    <w:rsid w:val="00942300"/>
    <w:rsid w:val="009441AC"/>
    <w:rsid w:val="00956B53"/>
    <w:rsid w:val="009573E3"/>
    <w:rsid w:val="00997152"/>
    <w:rsid w:val="009A35C6"/>
    <w:rsid w:val="009A4BD1"/>
    <w:rsid w:val="009B2B68"/>
    <w:rsid w:val="009B4049"/>
    <w:rsid w:val="009B6FDB"/>
    <w:rsid w:val="009C1453"/>
    <w:rsid w:val="009C3D9A"/>
    <w:rsid w:val="009D0C56"/>
    <w:rsid w:val="009E11D6"/>
    <w:rsid w:val="00A1753D"/>
    <w:rsid w:val="00A26509"/>
    <w:rsid w:val="00A4293E"/>
    <w:rsid w:val="00A65B52"/>
    <w:rsid w:val="00A65F97"/>
    <w:rsid w:val="00A66452"/>
    <w:rsid w:val="00A701A6"/>
    <w:rsid w:val="00A735CB"/>
    <w:rsid w:val="00A84E7B"/>
    <w:rsid w:val="00A907CD"/>
    <w:rsid w:val="00A92F23"/>
    <w:rsid w:val="00A933FC"/>
    <w:rsid w:val="00AA7A57"/>
    <w:rsid w:val="00AB5FBA"/>
    <w:rsid w:val="00AD017A"/>
    <w:rsid w:val="00AD3C0F"/>
    <w:rsid w:val="00AD5FAC"/>
    <w:rsid w:val="00AE1246"/>
    <w:rsid w:val="00AF0F2F"/>
    <w:rsid w:val="00B0110D"/>
    <w:rsid w:val="00B05EEE"/>
    <w:rsid w:val="00B10F68"/>
    <w:rsid w:val="00B25EA3"/>
    <w:rsid w:val="00B53D7E"/>
    <w:rsid w:val="00B60163"/>
    <w:rsid w:val="00B60929"/>
    <w:rsid w:val="00B829B2"/>
    <w:rsid w:val="00B85B8B"/>
    <w:rsid w:val="00BB0903"/>
    <w:rsid w:val="00BB1028"/>
    <w:rsid w:val="00BC37AA"/>
    <w:rsid w:val="00BC5591"/>
    <w:rsid w:val="00BC578D"/>
    <w:rsid w:val="00BE1936"/>
    <w:rsid w:val="00BE2703"/>
    <w:rsid w:val="00BE406E"/>
    <w:rsid w:val="00C173B7"/>
    <w:rsid w:val="00C32E9C"/>
    <w:rsid w:val="00C40837"/>
    <w:rsid w:val="00C461AC"/>
    <w:rsid w:val="00C465BC"/>
    <w:rsid w:val="00C81BD3"/>
    <w:rsid w:val="00C864A8"/>
    <w:rsid w:val="00CA0BBA"/>
    <w:rsid w:val="00CA3013"/>
    <w:rsid w:val="00CB51DC"/>
    <w:rsid w:val="00CD229F"/>
    <w:rsid w:val="00CE3C66"/>
    <w:rsid w:val="00CF1559"/>
    <w:rsid w:val="00CF220E"/>
    <w:rsid w:val="00CF3DEA"/>
    <w:rsid w:val="00D10A25"/>
    <w:rsid w:val="00D14F46"/>
    <w:rsid w:val="00D1688B"/>
    <w:rsid w:val="00D23412"/>
    <w:rsid w:val="00D331D4"/>
    <w:rsid w:val="00D44EC1"/>
    <w:rsid w:val="00D511E8"/>
    <w:rsid w:val="00D5170E"/>
    <w:rsid w:val="00D524E0"/>
    <w:rsid w:val="00D66020"/>
    <w:rsid w:val="00D74BCF"/>
    <w:rsid w:val="00D77CAA"/>
    <w:rsid w:val="00D93BE1"/>
    <w:rsid w:val="00D93C1E"/>
    <w:rsid w:val="00DA00F5"/>
    <w:rsid w:val="00DC5533"/>
    <w:rsid w:val="00DD3A1C"/>
    <w:rsid w:val="00DE2D68"/>
    <w:rsid w:val="00DE5804"/>
    <w:rsid w:val="00E01768"/>
    <w:rsid w:val="00E06D32"/>
    <w:rsid w:val="00E150BA"/>
    <w:rsid w:val="00E16F27"/>
    <w:rsid w:val="00E2171A"/>
    <w:rsid w:val="00E24EEE"/>
    <w:rsid w:val="00E3735A"/>
    <w:rsid w:val="00E37AA6"/>
    <w:rsid w:val="00E539C9"/>
    <w:rsid w:val="00E57906"/>
    <w:rsid w:val="00E67BB4"/>
    <w:rsid w:val="00E96E3C"/>
    <w:rsid w:val="00EA2999"/>
    <w:rsid w:val="00EA51FA"/>
    <w:rsid w:val="00EB2879"/>
    <w:rsid w:val="00EC2AE3"/>
    <w:rsid w:val="00EC2C4B"/>
    <w:rsid w:val="00ED77DB"/>
    <w:rsid w:val="00EE4EF3"/>
    <w:rsid w:val="00EE52B3"/>
    <w:rsid w:val="00EF5AE1"/>
    <w:rsid w:val="00F0519B"/>
    <w:rsid w:val="00F15376"/>
    <w:rsid w:val="00F15636"/>
    <w:rsid w:val="00F21B9A"/>
    <w:rsid w:val="00F24BF3"/>
    <w:rsid w:val="00F256E6"/>
    <w:rsid w:val="00F506A5"/>
    <w:rsid w:val="00F51D29"/>
    <w:rsid w:val="00F523D6"/>
    <w:rsid w:val="00F6641B"/>
    <w:rsid w:val="00F67A2D"/>
    <w:rsid w:val="00F7177F"/>
    <w:rsid w:val="00F751C8"/>
    <w:rsid w:val="00FA4C25"/>
    <w:rsid w:val="00FC2934"/>
    <w:rsid w:val="00FC6656"/>
    <w:rsid w:val="00FC66E9"/>
    <w:rsid w:val="00FC724A"/>
    <w:rsid w:val="00FD2B40"/>
    <w:rsid w:val="00FE5BAE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47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E404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EE404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415F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E4047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EE4047"/>
    <w:pPr>
      <w:tabs>
        <w:tab w:val="center" w:pos="4419"/>
        <w:tab w:val="right" w:pos="8838"/>
      </w:tabs>
    </w:pPr>
    <w:rPr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415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08DA"/>
    <w:pPr>
      <w:ind w:left="720"/>
      <w:contextualSpacing/>
    </w:pPr>
  </w:style>
  <w:style w:type="table" w:styleId="Tabelacomgrade">
    <w:name w:val="Table Grid"/>
    <w:basedOn w:val="Tabelanormal"/>
    <w:uiPriority w:val="59"/>
    <w:rsid w:val="00E0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93BE1"/>
    <w:rPr>
      <w:b/>
      <w:bCs/>
    </w:rPr>
  </w:style>
  <w:style w:type="paragraph" w:customStyle="1" w:styleId="Tabela">
    <w:name w:val="Tabela"/>
    <w:basedOn w:val="Legenda"/>
    <w:rsid w:val="007A28E6"/>
    <w:pPr>
      <w:spacing w:before="0" w:after="0"/>
    </w:pPr>
    <w:rPr>
      <w:rFonts w:cs="Mangal"/>
      <w:i w:val="0"/>
      <w:color w:val="auto"/>
      <w:kern w:val="1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47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E404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EE404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415F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E4047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EE4047"/>
    <w:pPr>
      <w:tabs>
        <w:tab w:val="center" w:pos="4419"/>
        <w:tab w:val="right" w:pos="8838"/>
      </w:tabs>
    </w:pPr>
    <w:rPr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415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A08DA"/>
    <w:pPr>
      <w:ind w:left="720"/>
      <w:contextualSpacing/>
    </w:pPr>
  </w:style>
  <w:style w:type="table" w:styleId="Tabelacomgrade">
    <w:name w:val="Table Grid"/>
    <w:basedOn w:val="Tabelanormal"/>
    <w:uiPriority w:val="59"/>
    <w:rsid w:val="00E0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93BE1"/>
    <w:rPr>
      <w:b/>
      <w:bCs/>
    </w:rPr>
  </w:style>
  <w:style w:type="paragraph" w:customStyle="1" w:styleId="Tabela">
    <w:name w:val="Tabela"/>
    <w:basedOn w:val="Legenda"/>
    <w:rsid w:val="007A28E6"/>
    <w:pPr>
      <w:spacing w:before="0" w:after="0"/>
    </w:pPr>
    <w:rPr>
      <w:rFonts w:cs="Mangal"/>
      <w:i w:val="0"/>
      <w:color w:val="auto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8936-2198-4D63-98C7-AF78BC53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Graziele Alano Gesser</cp:lastModifiedBy>
  <cp:revision>7</cp:revision>
  <cp:lastPrinted>2016-08-30T17:28:00Z</cp:lastPrinted>
  <dcterms:created xsi:type="dcterms:W3CDTF">2021-11-10T20:15:00Z</dcterms:created>
  <dcterms:modified xsi:type="dcterms:W3CDTF">2021-11-16T12:24:00Z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